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</w:rPr>
        <w:t xml:space="preserve"> при осуществлении муниципального земельного контроля на территории муниципального образова</w:t>
      </w:r>
      <w:r w:rsidR="005820E2">
        <w:rPr>
          <w:rFonts w:ascii="Times New Roman" w:hAnsi="Times New Roman" w:cs="Times New Roman"/>
          <w:sz w:val="28"/>
        </w:rPr>
        <w:t>ния города Благовещенска на 2025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F71C7" w:rsidRDefault="000F71C7" w:rsidP="000F71C7">
      <w:pPr>
        <w:pStyle w:val="a4"/>
        <w:spacing w:after="0" w:line="240" w:lineRule="auto"/>
        <w:ind w:left="0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color w:val="22272F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72F"/>
          <w:sz w:val="23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F71C7" w:rsidRDefault="000F71C7" w:rsidP="000F71C7">
      <w:pPr>
        <w:pStyle w:val="a4"/>
        <w:spacing w:after="0" w:line="240" w:lineRule="auto"/>
        <w:ind w:left="0" w:right="-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1C7" w:rsidRDefault="000F71C7" w:rsidP="000F71C7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</w:t>
      </w:r>
      <w:r>
        <w:rPr>
          <w:rFonts w:ascii="Times New Roman" w:hAnsi="Times New Roman" w:cs="Times New Roman"/>
          <w:bCs/>
          <w:sz w:val="28"/>
          <w:szCs w:val="28"/>
        </w:rPr>
        <w:t>охраняемым законом ценностям</w:t>
      </w:r>
      <w:r>
        <w:rPr>
          <w:rFonts w:ascii="Times New Roman" w:hAnsi="Times New Roman" w:cs="Times New Roman"/>
          <w:sz w:val="28"/>
        </w:rPr>
        <w:t xml:space="preserve"> при осуществлении муниципального земельного контроля 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(далее – Программа)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города Благовещенска. </w:t>
      </w:r>
    </w:p>
    <w:p w:rsidR="000F71C7" w:rsidRDefault="000F71C7" w:rsidP="000F71C7">
      <w:pPr>
        <w:pStyle w:val="a4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рисков причинения вреда (ущерба) охраняемым законом ценностям, а также на создание и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профилактики. Профилактика нарушений обязательных требований проводится в рамках осуществления муниципального земельного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1C7" w:rsidRDefault="000F71C7" w:rsidP="000F71C7">
      <w:pPr>
        <w:pStyle w:val="a4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Вид осуществляемого муниципального  контроля: муниципальный земельный контроль. </w:t>
      </w:r>
    </w:p>
    <w:p w:rsidR="000F71C7" w:rsidRDefault="000F71C7" w:rsidP="000F71C7">
      <w:pPr>
        <w:pStyle w:val="a4"/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Органом, осуществляющим муниципальный земельный контроль на территории муниципального образования города Благовещенска, является администрация города Благовещенска в лице муниципальных служащих земельного управления администрации города Благовещенска, должностными инструкциями которых установлена обязанность по исполнению такой функции.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земельного контроля на территории муниципального образования города Благовещенска является оценка соблюдения юридическими лицами, индивидуальными предпринимателями и гражданами (далее – подконтрольные субъекты)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Подконтрольными субъектами профилактических мероприятий являются граждане, </w:t>
      </w: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обладающие правами на земельные участки, а также использующие земли и земельные участки.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земельного законодательства, оценка соблюдения которых </w:t>
      </w:r>
      <w:r>
        <w:rPr>
          <w:rFonts w:ascii="Times New Roman" w:hAnsi="Times New Roman" w:cs="Times New Roman"/>
          <w:sz w:val="28"/>
          <w:szCs w:val="28"/>
        </w:rPr>
        <w:t>является предметом муниципального земельного контроля: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2 статьи 7, пункт 1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пункт 1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39.33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6,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пункт 2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3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hyperlink r:id="rId14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ы 1,</w:t>
      </w:r>
      <w:hyperlink r:id="rId15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hyperlink r:id="rId16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hyperlink r:id="rId1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17 </w:t>
      </w:r>
      <w:hyperlink r:id="rId1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hyperlink r:id="rId19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пункт 3 </w:t>
      </w:r>
      <w:hyperlink r:id="rId2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21" w:history="1">
        <w:proofErr w:type="gramStart"/>
        <w:r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принятием Постановления Правительства РФ от 10.03.2022 </w:t>
      </w:r>
      <w:r w:rsidR="005820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336 (ред. от 02.09.2022) «Об особенностях организации и осуществления государственного контроля (надзора),</w:t>
      </w:r>
      <w:r w:rsidR="005820E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контроля» в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внеплановые контрольные мероприятия администрацией города Благовещенска не проводились. Положением о муниципальном земельном контроле на территории муниципального образования города Благовещенска, утверждённым решением Благовещенской городской Думы от 28.10.2021 </w:t>
      </w:r>
      <w:r w:rsidR="00F367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 30/90 (ред. от 24.02.2022) плановые контрольные мероприятия</w:t>
      </w:r>
      <w:r>
        <w:rPr>
          <w:rFonts w:ascii="Times New Roman" w:hAnsi="Times New Roman" w:cs="Times New Roman"/>
          <w:sz w:val="28"/>
          <w:szCs w:val="28"/>
        </w:rPr>
        <w:t>, не п</w:t>
      </w:r>
      <w:r w:rsidR="005820E2">
        <w:rPr>
          <w:rFonts w:ascii="Times New Roman" w:hAnsi="Times New Roman" w:cs="Times New Roman"/>
          <w:sz w:val="28"/>
          <w:szCs w:val="28"/>
        </w:rPr>
        <w:t>редусмотрены. По состоянию на 16.09.2024 проведено 60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 с подконтрольными ли</w:t>
      </w:r>
      <w:r w:rsidR="005820E2">
        <w:rPr>
          <w:rFonts w:ascii="Times New Roman" w:hAnsi="Times New Roman" w:cs="Times New Roman"/>
          <w:sz w:val="28"/>
          <w:szCs w:val="28"/>
        </w:rPr>
        <w:t>цами, в ходе которых выявлено 97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B29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законодательства. 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5820E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администрацией города Благовещенска по программе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города Благовещенска, утверждённой постановлением админист</w:t>
      </w:r>
      <w:r w:rsidR="007B29A7">
        <w:rPr>
          <w:rFonts w:ascii="Times New Roman" w:hAnsi="Times New Roman" w:cs="Times New Roman"/>
          <w:color w:val="000000"/>
          <w:sz w:val="28"/>
          <w:szCs w:val="28"/>
        </w:rPr>
        <w:t>рации города Благовещенска от 15.12.2022 № 6502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проводились следующие мероприятия</w:t>
      </w:r>
      <w:r>
        <w:rPr>
          <w:rFonts w:ascii="Times New Roman" w:hAnsi="Times New Roman" w:cs="Times New Roman"/>
          <w:sz w:val="28"/>
        </w:rPr>
        <w:t>: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а) консультирования подконтрольных субъектов </w:t>
      </w:r>
      <w:r>
        <w:rPr>
          <w:rFonts w:ascii="Times New Roman" w:hAnsi="Times New Roman" w:cs="Times New Roman"/>
          <w:sz w:val="28"/>
          <w:szCs w:val="28"/>
        </w:rPr>
        <w:t>об обязательных требованиях земельного законодательства, а также о мерах, направленных на самостоятельное выявление и устранение нарушений требований земельного законодательства</w:t>
      </w:r>
      <w:r w:rsidR="005820E2">
        <w:rPr>
          <w:rFonts w:ascii="Times New Roman" w:hAnsi="Times New Roman" w:cs="Times New Roman"/>
          <w:sz w:val="28"/>
        </w:rPr>
        <w:t xml:space="preserve"> в количестве - 7</w:t>
      </w:r>
      <w:r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объявлено предостережений о недопустимости нарушений обязательных требований земельного законодательства, требований, установленных муниципальными правовыми актами подконтрольн</w:t>
      </w:r>
      <w:r w:rsidR="005820E2">
        <w:rPr>
          <w:rFonts w:ascii="Times New Roman" w:hAnsi="Times New Roman" w:cs="Times New Roman"/>
          <w:sz w:val="28"/>
          <w:szCs w:val="28"/>
        </w:rPr>
        <w:t>ыми субъектами в количестве - 104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в) проведено профилакт</w:t>
      </w:r>
      <w:r w:rsidR="005820E2">
        <w:rPr>
          <w:rFonts w:ascii="Times New Roman" w:hAnsi="Times New Roman" w:cs="Times New Roman"/>
          <w:sz w:val="28"/>
          <w:szCs w:val="28"/>
        </w:rPr>
        <w:t>ических визитов в количестве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1C7" w:rsidRDefault="000F71C7" w:rsidP="000F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г) личные приемы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земельного управления, а также муниципальными служащими отдела муниципального земельного контроля по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 организации и проведения проверок, соблюдения требований законодательства при осуществлении муниципального земельного контроля;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разъяснительная работа в средствах массовой информации (опубликованы статьи о необходимости соблюдения требований земельного законодательства).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Рисками, возникающими в результате нарушения охраняемых законом ценностей при осуществлении администрацией города Благовещенска муниципального земельного контроля, являются: 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бюджетами бюджетной системы Российской Федерации денежных средств от уплаты земельного налога и арендных платежей по договорам аренды земель и иных платежей, находящихся в государственной и муниципальной собственности;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имущественных прав Российской Федерации, субъектов Российской Федерации, органов местного самоуправления, юридических лиц, индивидуальных предпринимателей и граждан;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ухудшение экологических условий;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произвольное использование земельных участков.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1C7" w:rsidRDefault="000F71C7" w:rsidP="000F71C7">
      <w:pPr>
        <w:tabs>
          <w:tab w:val="left" w:pos="708"/>
          <w:tab w:val="left" w:pos="1416"/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Программы.</w:t>
      </w:r>
    </w:p>
    <w:p w:rsidR="000F71C7" w:rsidRDefault="000F71C7" w:rsidP="000F71C7">
      <w:pPr>
        <w:tabs>
          <w:tab w:val="left" w:pos="708"/>
          <w:tab w:val="left" w:pos="1416"/>
          <w:tab w:val="left" w:pos="3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1C7" w:rsidRDefault="000F71C7" w:rsidP="000F71C7">
      <w:pPr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2.1 Целями программы являются: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стимулирование добросовестного соблюдения обязательных требований земельного законодательства всеми контролируемыми лицами, устранения условий, причин и факторов, способных привести к их нарушениям и (или) причинению вреда (ущерба) охраняемым законом ценностям, создания условий для доведения обязательных требований земельного законодательства до контролируемых лиц, повышения информированности о способах их соблюдения;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предупреждение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их нарушению;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снижение риска причинения ущерба охраняемым законом ценностям;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разъяснение подконтрольным субъектам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земельного законодательства.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 Задачами программы являются: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укрепление системы профилактики нарушений обязательных требований путем активизации профилактической деятельности; 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выявление причин, факторов и условий, способствующих нарушениям обязательных требований; 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повышение правосознания и правовой культуры руководителей юридических лиц, индивидуальных предпринимателей и граждан;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формирование единого понимания обязательных требований земельного законодательства у граждан, </w:t>
      </w:r>
      <w:r>
        <w:rPr>
          <w:rFonts w:ascii="Times New Roman" w:hAnsi="Times New Roman" w:cs="Times New Roman"/>
          <w:bCs/>
          <w:sz w:val="28"/>
          <w:szCs w:val="28"/>
        </w:rPr>
        <w:t>юридических лиц и индивидуальных предпринимателей.</w:t>
      </w:r>
    </w:p>
    <w:p w:rsidR="000F71C7" w:rsidRDefault="000F71C7" w:rsidP="000F71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призвана обеспечить создание условий для снижения случаев нарушения обязательных требований, требований, установленных муниципальными правовыми актами в области муниципального земельного контроля, повышения результативности и эффективности муниципального контроля, формирования заинтересованности подконтрольных субъектов в соблюдении законодательства в подконтрольной сфере. </w:t>
      </w:r>
    </w:p>
    <w:p w:rsidR="000F71C7" w:rsidRDefault="000F71C7" w:rsidP="000F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механизмом оценки эффективности и результативности мероприятий по профилактике нарушений является соблюдение подконтрольными субъектами требований действующего законодательства в сфере муниципального земельного контроля. 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 (контрольный орган может проводить профилактические мероприятия: информирование и консультирование согласно Перечню).</w:t>
      </w:r>
    </w:p>
    <w:p w:rsidR="000F71C7" w:rsidRDefault="000F71C7" w:rsidP="000F71C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838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961"/>
        <w:gridCol w:w="2835"/>
        <w:gridCol w:w="1559"/>
      </w:tblGrid>
      <w:tr w:rsidR="000F71C7" w:rsidTr="000F71C7">
        <w:trPr>
          <w:trHeight w:val="398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ind w:left="3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приема муниципальными служащими, должностными инструкциями которых установлена обязанность по исполнению муниципальной функции «Осуществление муниципального земельного контроля на территории муниципального образования города Благовещенска», подконтрольных субъектов по вопросам организации и проведения проверок, соблюдения требований законодательства при осуществлении муниципального земельного контроля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Еженедельно, каждый четверг (с 9:00 до 13:00)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Земельное управление, начальник, заместитель начальника, консультанты, главный специалист отдела муниципального земельного контроля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71C7" w:rsidRDefault="000F71C7">
            <w:pPr>
              <w:pStyle w:val="ConsPlusNormal0"/>
              <w:tabs>
                <w:tab w:val="left" w:pos="993"/>
              </w:tabs>
              <w:jc w:val="both"/>
              <w:rPr>
                <w:rStyle w:val="a7"/>
                <w:i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Консультирование подконтрольных субъектов по телефону, посредством видео-конференц-связи, на личном приёме либо в ходе проведения профилактического мероприятия </w:t>
            </w:r>
            <w:r>
              <w:rPr>
                <w:rStyle w:val="a7"/>
                <w:i w:val="0"/>
                <w:sz w:val="24"/>
                <w:szCs w:val="24"/>
              </w:rPr>
              <w:t xml:space="preserve">по следующим вопросам: </w:t>
            </w:r>
          </w:p>
          <w:p w:rsidR="000F71C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-порядок организации и осуществления земельного контроля;</w:t>
            </w:r>
          </w:p>
          <w:p w:rsidR="000F71C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-порядок досудебного обжалования решений, действий (бездействия) контрольного органа;</w:t>
            </w:r>
          </w:p>
          <w:p w:rsidR="000F71C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-самовольное занятие земельного участка и (или) земель, государственная собственность на которые не разграничена,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      </w:r>
          </w:p>
          <w:p w:rsidR="000F71C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использованием;</w:t>
            </w:r>
          </w:p>
          <w:p w:rsidR="000F71C7" w:rsidRDefault="000F71C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-неиспользование земельного участка, предназначенного для жилищного или иного строительства, садоводства, огородничества, в указанных целях. </w:t>
            </w:r>
          </w:p>
          <w:p w:rsidR="000F71C7" w:rsidRDefault="000F71C7">
            <w:pPr>
              <w:pStyle w:val="ConsPlusNormal0"/>
              <w:tabs>
                <w:tab w:val="left" w:pos="993"/>
              </w:tabs>
              <w:jc w:val="both"/>
              <w:rPr>
                <w:rStyle w:val="a7"/>
                <w:i w:val="0"/>
                <w:iCs w:val="0"/>
              </w:rPr>
            </w:pPr>
          </w:p>
          <w:p w:rsidR="000F71C7" w:rsidRDefault="000F71C7">
            <w:pPr>
              <w:pStyle w:val="ConsPlusNormal0"/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Земельное управление, начальник, заместитель начальника, консультанты, главный специалист 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земельного контроля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при проведении контрольных  мероприятий подконтрольным субъектам обязательных требований, а также порядка проведения контрольного  мероприятия, прав и обязанностей подконтрольного субъекта и муниципальных служащих в ходе мероприятия.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Земельное управление, начальник, заместитель начальника, консультанты, главный специалист отдела муниципального земельного контроля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pStyle w:val="ConsPlusNormal0"/>
              <w:tabs>
                <w:tab w:val="left" w:pos="993"/>
              </w:tabs>
              <w:jc w:val="both"/>
              <w:rPr>
                <w:rStyle w:val="a7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контролируемых лиц по вопросам соблюдения обязательных требований земельного законодательства Российской Федерации. Размещение соответствующих сведений на официальном сайте контрольного органа в сети «Интернет», в официальном печатном издании газете «Благовещенск», на стендах в помещениях контрольного органа</w:t>
            </w:r>
            <w:bookmarkStart w:id="0" w:name="P636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Земельное управление, начальник, заместитель начальника отдела муниципального земельного контроля 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5" w:right="34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Style w:val="a7"/>
                <w:i w:val="0"/>
                <w:sz w:val="24"/>
                <w:szCs w:val="24"/>
              </w:rPr>
              <w:t xml:space="preserve">Поддержание в актуальном состоянии, размещенных на официальном сайте администрации города Благовещенска в сети «Интернет»,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контроля, руководств по соблюдению вышеуказанных </w:t>
            </w:r>
            <w:r>
              <w:rPr>
                <w:rStyle w:val="a7"/>
                <w:i w:val="0"/>
                <w:sz w:val="24"/>
                <w:szCs w:val="24"/>
              </w:rPr>
              <w:lastRenderedPageBreak/>
              <w:t>обязательных требований.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Земельное управление, управление, начальник, заместитель начальника отдела муниципального земельного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контроля,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 вопросам полноты и актуальности перечней нормативных правовых актов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Земельное управление, начальник, заместитель начальника отдела муниципального земельного контроля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совещаний с Управлением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Амурской области по вопросам взаимодействия при проведении контрольных мероприятий и работы по профилактике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реже одного раза в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Земельное управление, начальник, заместитель начальника отдела муниципального земельного контроля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межведомственной рабочей группы по защите прав субъектов предпринимательской деятельности.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Земельное управление, начальник, заместитель начальника отдела муниципального земельного контроля</w:t>
            </w:r>
          </w:p>
        </w:tc>
      </w:tr>
      <w:tr w:rsidR="000F71C7" w:rsidTr="000F71C7">
        <w:trPr>
          <w:trHeight w:val="3668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(далее – Предостережение).</w:t>
            </w:r>
          </w:p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объявляется контролируемому лицу в случае наличия сведений о готовящихся нарушениях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по мере появления оснований, предусмотренных законодательством.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Земельное управление, начальник, заместитель начальника, консультанты отдела муниципального земельного контроля</w:t>
            </w:r>
          </w:p>
        </w:tc>
      </w:tr>
      <w:tr w:rsidR="000F71C7" w:rsidTr="000F71C7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1C7" w:rsidRDefault="000F71C7" w:rsidP="00340B5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визит.</w:t>
            </w:r>
          </w:p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конференц-связи. В ходе профилактического визита контролируемое лицо информируется об обязательных требованиях, предъявляемых к принадлежащим ему объектам контроля.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 по мере появления оснований, предусмотренных законодательством.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F71C7" w:rsidRDefault="000F71C7">
            <w:pPr>
              <w:autoSpaceDE w:val="0"/>
              <w:autoSpaceDN w:val="0"/>
              <w:adjustRightInd w:val="0"/>
              <w:ind w:left="34" w:righ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Земельное управление, начальник, заместитель начальника,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консультанты отдела муниципального земельного контроля</w:t>
            </w:r>
          </w:p>
        </w:tc>
      </w:tr>
    </w:tbl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Показатели результативности и эффективности Программы.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Отчет</w:t>
      </w:r>
      <w:r w:rsidR="005820E2">
        <w:rPr>
          <w:rFonts w:ascii="Times New Roman" w:hAnsi="Times New Roman" w:cs="Times New Roman"/>
          <w:sz w:val="28"/>
          <w:szCs w:val="28"/>
        </w:rPr>
        <w:t>ные показатели Программы на 2025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0F71C7" w:rsidRDefault="000F71C7" w:rsidP="000F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F71C7" w:rsidRDefault="000F71C7" w:rsidP="000F71C7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iCs/>
          <w:color w:val="000000"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0F71C7" w:rsidRDefault="000F71C7" w:rsidP="000F71C7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- повышение уровня доверия подконтрольных субъектов к органу, осуществляющему муниципальный земельный контроль на территории муниципального образования города Благовещенска.</w:t>
      </w:r>
    </w:p>
    <w:p w:rsidR="000F71C7" w:rsidRDefault="000F71C7" w:rsidP="000F71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Ожидаемый результат реализации Программы – предотвращение рисков причинения вреда охраняемым законом ценностям и снижение количества допущенных поднадзорными субъектами нарушений обязательных требований в области земельных правоотношений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D299B" w:rsidRDefault="009D299B"/>
    <w:sectPr w:rsidR="009D299B" w:rsidSect="000F71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AFD"/>
    <w:multiLevelType w:val="hybridMultilevel"/>
    <w:tmpl w:val="1AF8E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91"/>
    <w:rsid w:val="000F71C7"/>
    <w:rsid w:val="004128FB"/>
    <w:rsid w:val="005820E2"/>
    <w:rsid w:val="00612F91"/>
    <w:rsid w:val="007B29A7"/>
    <w:rsid w:val="009D299B"/>
    <w:rsid w:val="00F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71C7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0F71C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semiHidden/>
    <w:rsid w:val="000F7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semiHidden/>
    <w:rsid w:val="000F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0F71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0F71C7"/>
    <w:rPr>
      <w:color w:val="0000FF"/>
      <w:u w:val="single"/>
    </w:rPr>
  </w:style>
  <w:style w:type="character" w:styleId="a7">
    <w:name w:val="Emphasis"/>
    <w:basedOn w:val="a0"/>
    <w:uiPriority w:val="20"/>
    <w:qFormat/>
    <w:rsid w:val="000F71C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3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71C7"/>
    <w:pPr>
      <w:ind w:left="720"/>
      <w:contextualSpacing/>
    </w:pPr>
  </w:style>
  <w:style w:type="character" w:customStyle="1" w:styleId="ConsPlusNormal">
    <w:name w:val="ConsPlusNormal Знак"/>
    <w:link w:val="ConsPlusNormal0"/>
    <w:semiHidden/>
    <w:locked/>
    <w:rsid w:val="000F71C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semiHidden/>
    <w:rsid w:val="000F7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semiHidden/>
    <w:rsid w:val="000F7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0F71C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0F71C7"/>
    <w:rPr>
      <w:color w:val="0000FF"/>
      <w:u w:val="single"/>
    </w:rPr>
  </w:style>
  <w:style w:type="character" w:styleId="a7">
    <w:name w:val="Emphasis"/>
    <w:basedOn w:val="a0"/>
    <w:uiPriority w:val="20"/>
    <w:qFormat/>
    <w:rsid w:val="000F71C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3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19D488BEFDDC73BD2FF9B9099737C31ED6EA475C72EE825E0950D76F5FFAAB8B8081B3792X5T4F" TargetMode="External"/><Relationship Id="rId13" Type="http://schemas.openxmlformats.org/officeDocument/2006/relationships/hyperlink" Target="consultantplus://offline/ref=0DD19D488BEFDDC73BD2FF9B9099737C31ED6FA274C12EE825E0950D76XFT5F" TargetMode="External"/><Relationship Id="rId18" Type="http://schemas.openxmlformats.org/officeDocument/2006/relationships/hyperlink" Target="consultantplus://offline/ref=0DD19D488BEFDDC73BD2FF9B9099737C31ED6FA573CE2EE825E0950D76F5FFAAB8B8081935X9T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DD19D488BEFDDC73BD2FF9B9099737C31ED6EA776CF2EE825E0950D76XFT5F" TargetMode="External"/><Relationship Id="rId7" Type="http://schemas.openxmlformats.org/officeDocument/2006/relationships/hyperlink" Target="consultantplus://offline/ref=0DD19D488BEFDDC73BD2FF9B9099737C31ED6EA475C72EE825E0950D76F5FFAAB8B8081B37955450XET4F" TargetMode="External"/><Relationship Id="rId12" Type="http://schemas.openxmlformats.org/officeDocument/2006/relationships/hyperlink" Target="consultantplus://offline/ref=0DD19D488BEFDDC73BD2FF9B9099737C31ED6FA274C12EE825E0950D76F5FFAAB8B80813X3T2F" TargetMode="External"/><Relationship Id="rId17" Type="http://schemas.openxmlformats.org/officeDocument/2006/relationships/hyperlink" Target="consultantplus://offline/ref=0DD19D488BEFDDC73BD2FF9B9099737C31ED6FA573CE2EE825E0950D76F5FFAAB8B8081B37955E52XET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D19D488BEFDDC73BD2FF9B9099737C31EC6CA275C12EE825E0950D76XFT5F" TargetMode="External"/><Relationship Id="rId20" Type="http://schemas.openxmlformats.org/officeDocument/2006/relationships/hyperlink" Target="consultantplus://offline/ref=0DD19D488BEFDDC73BD2FF9B9099737C31ED6EA776CF2EE825E0950D76F5FFAAB8B8081B37955559XET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D19D488BEFDDC73BD2FF9B9099737C31ED6EA475C72EE825E0950D76F5FFAAB8B8081B37955450XET8F" TargetMode="External"/><Relationship Id="rId11" Type="http://schemas.openxmlformats.org/officeDocument/2006/relationships/hyperlink" Target="consultantplus://offline/ref=0DD19D488BEFDDC73BD2FF9B9099737C31ED6EA475C72EE825E0950D76F5FFAAB8B808123EX9T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19D488BEFDDC73BD2FF9B9099737C31EC6CA275C12EE825E0950D76F5FFAAB8B8081833X9T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D19D488BEFDDC73BD2FF9B9099737C31ED6EA475C72EE825E0950D76F5FFAAB8B8081B37955558XETDF" TargetMode="External"/><Relationship Id="rId19" Type="http://schemas.openxmlformats.org/officeDocument/2006/relationships/hyperlink" Target="consultantplus://offline/ref=0DD19D488BEFDDC73BD2FF9B9099737C31ED6FA573CE2EE825E0950D76XFT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D19D488BEFDDC73BD2FF9B9099737C31ED6EA475C72EE825E0950D76F5FFAAB8B8081B379CX5T7F" TargetMode="External"/><Relationship Id="rId14" Type="http://schemas.openxmlformats.org/officeDocument/2006/relationships/hyperlink" Target="consultantplus://offline/ref=0DD19D488BEFDDC73BD2FF9B9099737C31EC6CA275C12EE825E0950D76F5FFAAB8B8081833X9T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Хованец Оксана Сергеевна</dc:creator>
  <cp:keywords/>
  <dc:description/>
  <cp:lastModifiedBy>Хованец Оксана Сергеевна</cp:lastModifiedBy>
  <cp:revision>6</cp:revision>
  <cp:lastPrinted>2024-09-16T01:22:00Z</cp:lastPrinted>
  <dcterms:created xsi:type="dcterms:W3CDTF">2023-09-18T07:53:00Z</dcterms:created>
  <dcterms:modified xsi:type="dcterms:W3CDTF">2024-09-16T01:59:00Z</dcterms:modified>
</cp:coreProperties>
</file>