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C58" w:rsidRPr="00FB10D0" w:rsidRDefault="00C1105E" w:rsidP="00FB1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0D0">
        <w:rPr>
          <w:rFonts w:ascii="Times New Roman" w:hAnsi="Times New Roman" w:cs="Times New Roman"/>
          <w:b/>
          <w:sz w:val="28"/>
          <w:szCs w:val="28"/>
        </w:rPr>
        <w:t>Ответы на поступающие вопросы:</w:t>
      </w:r>
    </w:p>
    <w:p w:rsidR="00FB10D0" w:rsidRDefault="00FB10D0" w:rsidP="00FB1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05E" w:rsidRPr="00C1105E" w:rsidRDefault="00533895" w:rsidP="00C1105E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C1105E" w:rsidRPr="00C11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Применение антидемпинговых мер, предусмотренных статьей 37 Федерального закона № 44-ФЗ, при осуществлении закупки в соответствии с пунктом 2 статьи 42 указанного закона, в случае если в извещении об осуществлении закупки и документации о закупке заказчик указывает цену запасных частей или каждой запасной части к технике, оборудованию, цену единицы работы или услуги.</w:t>
      </w:r>
    </w:p>
    <w:p w:rsidR="00C1105E" w:rsidRPr="00C1105E" w:rsidRDefault="00C1105E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0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статьи 68 Федерального закона № 44-ФЗ, если в документации об электронном аукционе указана общая начальная (максимальная) цена запасных частей к технике, оборудованию либо в случае, предусмотренном пунктом 2 статьи 42 указанного закона, начальная (максимальная) цена единицы товара, работы или услуги, такой аукцион проводится путем снижения указанных общей начальной (максимальной) цены и начальной (максимальной) цены единицы товара, работы или услуги в порядке, установленном данной статьей.</w:t>
      </w:r>
    </w:p>
    <w:p w:rsidR="00C1105E" w:rsidRPr="00C1105E" w:rsidRDefault="00C1105E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0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37 Федерального закона № 44-ФЗ предусмотрены антидемпинговые меры в случае снижения участником закупки начальной (максимальной) цены контракта более чем на 25 %.</w:t>
      </w:r>
    </w:p>
    <w:p w:rsidR="00533895" w:rsidRPr="00C1105E" w:rsidRDefault="00F27739" w:rsidP="00533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уже отмечалось на прошлом семинаре, п</w:t>
      </w:r>
      <w:r w:rsidR="0053389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озиция Минэкономразвития России по данному вопросу неоднозначна. Так, в</w:t>
      </w:r>
      <w:r w:rsidR="00C1105E" w:rsidRPr="00C1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письмами Минэкономразвития России от 26.06.2015 № Д28и-2272 и от 30.05.2016 № Д28и-1415 в указанных случаях заказчики обязаны применять антидемпинговые меры в соответствии со статьей 37 Федерального закона № 44-ФЗ.</w:t>
      </w:r>
      <w:r w:rsidR="00533895" w:rsidRPr="0053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895" w:rsidRPr="00C11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в соответствии с письмами Минэкономразвития России от 28.03.2016 № Д28и-898 и от 26.07.2016 № Д28и-1889 антидемпинговые меры, установленные частями 1, 2 статьи 37 Федерального закона № 44-ФЗ, не применяются при осуществлении закупки в соответствии с пунктом 2 статьи 42 указанного закона.</w:t>
      </w:r>
    </w:p>
    <w:p w:rsidR="00C1105E" w:rsidRPr="00F27739" w:rsidRDefault="00F27739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77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соответствии с ответом</w:t>
      </w:r>
      <w:r w:rsidR="00533895" w:rsidRPr="00F277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Минэкономразвития России</w:t>
      </w:r>
      <w:r w:rsidRPr="00F277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 запрос администрации города Благовещенска антидемпинговые меры, установленные частями 1,2 статьи 37 Закона № 44-ФЗ, не применяются при осуществлении закупки в соответствии с пунктом 2 статьи 42 Закона № 44-ФЗ</w:t>
      </w:r>
      <w:r w:rsidR="00533895" w:rsidRPr="00F277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C1105E" w:rsidRPr="002A428E" w:rsidRDefault="00C1105E" w:rsidP="00C1105E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2A42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Указание в плане-графике закупок товаров, работ, услуг для обеспечения муниципальных нужд периодичности или этапов поставки товаров, выполнения работ, оказания услуг.</w:t>
      </w:r>
    </w:p>
    <w:p w:rsidR="00905E74" w:rsidRPr="002A428E" w:rsidRDefault="00905E74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уже было сказано на предыдущем семинаре администрацией города Благовещенска был направлен запрос в Минэкономразвития России по вопросу отражения в плане-графике закупок периодичности и этапов поставки товаров, работ, услуг в отношении услуг длящегося характера.</w:t>
      </w:r>
    </w:p>
    <w:p w:rsidR="00C1105E" w:rsidRPr="002A428E" w:rsidRDefault="00C1105E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заключен муниципальный контракт на оказание услуг связи на 2017 год. При этом в муниципальном контракте этапы его исполнения не предусмотрены, услуги предоставляются ежедневно, а приемка, оплата и экспертиза услуг осуществляется ежемесячно.</w:t>
      </w:r>
    </w:p>
    <w:p w:rsidR="002A428E" w:rsidRPr="002A428E" w:rsidRDefault="002A428E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этот вопрос был также получен ответ Минэкономразвития России, который тоже не внес ясности.</w:t>
      </w:r>
    </w:p>
    <w:p w:rsidR="004E6FF4" w:rsidRPr="002A428E" w:rsidRDefault="002A428E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у</w:t>
      </w:r>
      <w:r w:rsidR="004E6FF4"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правление </w:t>
      </w:r>
      <w:r w:rsidR="00BC0197"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</w:t>
      </w:r>
      <w:r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 раньше </w:t>
      </w:r>
      <w:r w:rsidR="00BC0197"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 в таких случаях указывать</w:t>
      </w:r>
      <w:r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105E" w:rsidRPr="002A428E" w:rsidRDefault="006B082A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105E"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отдельного этапа контракта: не предусмотрен.</w:t>
      </w:r>
    </w:p>
    <w:p w:rsidR="00C1105E" w:rsidRPr="002A428E" w:rsidRDefault="00C1105E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поставки товаров, работ (услуг): ежемесячно.»</w:t>
      </w:r>
    </w:p>
    <w:p w:rsidR="006B082A" w:rsidRPr="002A428E" w:rsidRDefault="006B082A" w:rsidP="006B082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(Возможный вариант: </w:t>
      </w:r>
    </w:p>
    <w:p w:rsidR="00C1105E" w:rsidRPr="002A428E" w:rsidRDefault="006B082A" w:rsidP="006B082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C1105E" w:rsidRPr="002A42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исполнения отдельного этапа контракта: ежемесячно.</w:t>
      </w:r>
    </w:p>
    <w:p w:rsidR="00C1105E" w:rsidRPr="002A428E" w:rsidRDefault="00C1105E" w:rsidP="00C110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A42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Периодичность поставки товаров, работ (услуг): ежедневно.»</w:t>
      </w:r>
      <w:r w:rsidR="006B082A" w:rsidRPr="002A42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2A42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1105E" w:rsidRPr="00454467" w:rsidRDefault="003B2E27" w:rsidP="00C1105E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1105E" w:rsidRPr="00454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1105E" w:rsidRPr="00454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Сроки отражения заказчиком в отчете, размещаемом в единой информационной системе, информации об изменении контракта и размере аванса.</w:t>
      </w:r>
    </w:p>
    <w:p w:rsidR="00454467" w:rsidRPr="00454467" w:rsidRDefault="00454467" w:rsidP="00C1105E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4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94 Федерального закона № 44-ФЗ и постановлением Правительства Российской Федерации от 28.11.2013 № 1093 предусмотрено указание в отчете, размещаемом в единой информационной системе, информации об изменении контракта и размере аванса. Однако, в указанных документах не содержится информации о сроках отражения в отчете указанной информации.</w:t>
      </w:r>
    </w:p>
    <w:p w:rsidR="00454467" w:rsidRPr="00454467" w:rsidRDefault="00454467" w:rsidP="00C1105E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4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прошлом семинаре управление контроля рекомендовало вносить указанную информацию в отчет без промедления.</w:t>
      </w:r>
    </w:p>
    <w:p w:rsidR="00454467" w:rsidRDefault="00454467" w:rsidP="00C1105E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Минэкономразвития России придерживается такой же позиции и в своем ответе указывает, что</w:t>
      </w:r>
      <w:r w:rsidRPr="0045446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информация об изменении контракта и размере аванса включается при формировании отчета о результатах исполнения соответствующего этапа исполнения контракта, в котором осуществляется исполнение указанного этапа, на дату исполнения соответствующего этапа исполнения контракта.</w:t>
      </w:r>
    </w:p>
    <w:p w:rsidR="004170FC" w:rsidRPr="00C95BBA" w:rsidRDefault="004170FC" w:rsidP="00C1105E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B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C95BBA" w:rsidRPr="00C95B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направления информации при приемке результатов контракта</w:t>
      </w:r>
    </w:p>
    <w:p w:rsidR="00C95BBA" w:rsidRDefault="00017B19" w:rsidP="00017B1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пункту 13 части 2 статьи 103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1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44-ФЗ в реестр контрактов включается в том числе документ о приемке в случае принятия решения о приемке поставленного товара, выполненной работы, оказанной услуги.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7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казанная информация направляется заказчиками в течение трех рабочих дней с даты приемки поставленного товара, выполненной работы, оказанной услуги.</w:t>
      </w:r>
    </w:p>
    <w:p w:rsidR="00AA536F" w:rsidRDefault="00712B11" w:rsidP="00017B1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 акте обязательно должно быть две даты:</w:t>
      </w:r>
    </w:p>
    <w:p w:rsidR="00712B11" w:rsidRDefault="00712B11" w:rsidP="00017B1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дата составления документа должна быть указана в соответствии со статьей 9 Федерального закона от 06.12.2011 № 402 «О бухгалтерском учете». При этом обращаю внимание на следующее. Акт приема-передачи работ должен быть составлен на дату готовности исполнителя к передаче товаров, результатов выполненных работ, оказанных услуг.</w:t>
      </w:r>
      <w:r w:rsidR="00DC2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есть дата составления акта приема-передачи выполненных работ должна соответствовать дате его подписания со стороны исполнителя. Таким образом, в случае, если имеется такая техническая возможность рекомендуем убирать дату из реквизитов акта, включив при этом дату подписания акта </w:t>
      </w:r>
      <w:r w:rsidR="006B4C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исполнителем. </w:t>
      </w:r>
      <w:r w:rsidR="00A4494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нет технической возможности убрать дату из реквизитов акта, следует контролировать чтобы она совпадала с датой подписания акта исполнителем.</w:t>
      </w:r>
    </w:p>
    <w:p w:rsidR="006B4C14" w:rsidRDefault="006B4C14" w:rsidP="00017B1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A44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 приемки товаров (работ, услуг) </w:t>
      </w:r>
      <w:r w:rsidR="006B7E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день подписания заказчиком документа о приемке. Именно от даты приемки считается трехдневный срок, необходимый для направления сведений в реестр контрактов. Поэтому считаем необходимым в обязательном порядке под подписью заказчика указывать дату подписания. В случае отсутствия такой даты, датой приемки товаров (работ, услуг) будет считаться дата составления акта. В этом случае велика вероятность того, что срок для направления сведений в реестр контрактов будет нарушен и заказчик может быть привлечен к административной ответственности</w:t>
      </w:r>
      <w:r w:rsidR="0076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(статья 7.31 КоАП штраф 20 тыс.руб.)</w:t>
      </w:r>
      <w:r w:rsidR="006B7E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7E5F" w:rsidRDefault="007624BF" w:rsidP="00017B1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Обобщая вышеуказанное, управление контроля настоятельно рекомендует указывать дату подписания акта прием-передачи заказчиком и исполнителем, независимо от того, указана дата акта (наверху) или нет.</w:t>
      </w:r>
    </w:p>
    <w:p w:rsidR="00BB2E2A" w:rsidRPr="00135AD6" w:rsidRDefault="007E14E9" w:rsidP="00017B1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E7F55" w:rsidRPr="00135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Согласование цены</w:t>
      </w:r>
    </w:p>
    <w:p w:rsidR="00135AD6" w:rsidRPr="00135AD6" w:rsidRDefault="00135AD6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контроля в соответствии с постановлением администрации города Благовещенска от 27.01.2017 № 215 </w:t>
      </w:r>
      <w:r w:rsidR="002A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закупок товаров, работ, услуг автономными, казенными и бюджетными учреждениями города Благовещенска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r w:rsidRPr="00135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начальной (максимальной) цены контракта и цены контракта (договора), заключаемого с единственным поставщиком (подрядчиком, исполнителем).</w:t>
      </w:r>
      <w:r w:rsidR="002A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постановление на муниципальные предприятия пока не распространяется.</w:t>
      </w:r>
    </w:p>
    <w:p w:rsidR="00135AD6" w:rsidRDefault="00135AD6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недопущения нарушений при согласовании цены обращаю внимание на следующее:</w:t>
      </w:r>
    </w:p>
    <w:p w:rsidR="00135AD6" w:rsidRDefault="00135AD6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 о согласовании цены должно быть представлено </w:t>
      </w:r>
      <w:r w:rsidR="00820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форме, утвержденной указанным постановлением;</w:t>
      </w:r>
    </w:p>
    <w:p w:rsidR="0082035B" w:rsidRDefault="0082035B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обращению должно быть приложено как минимум 3 коммерческих предложения. В случае невозможности получения 3 коммерческих предложений, в сопроводительном письме необходимо указать причину этого;</w:t>
      </w:r>
    </w:p>
    <w:p w:rsidR="0082035B" w:rsidRDefault="0082035B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о согласовании цены направляется до заключения контракта;</w:t>
      </w:r>
    </w:p>
    <w:p w:rsidR="0082035B" w:rsidRDefault="0082035B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обращению о согласовании цены следует приложить техническое задание, в котором подробно описать все важные характеристики товара, работы, услуги (при отсутствии технического задания велика вероятность согласования цены не на тот объект закупки);</w:t>
      </w:r>
    </w:p>
    <w:p w:rsidR="0082035B" w:rsidRDefault="0082035B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соблюдать не только согласованную общую стоимость закупки, но и согласованную цену за единицу товара, работы, услуги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муниципальн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учреждени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поставку товара по цене, превышающей согласованную управлением контроля, при этом уменьшив количество товара таким образом, чтобы общая сумма закупки не изменилась. За такое нарушение директор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F7746" w:rsidRP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дисциплинарной ответственности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035B" w:rsidRDefault="0082035B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контроля согласовывает не поставщика, а именно цену закупки. Заказчик имеет право заключить договор с </w:t>
      </w:r>
      <w:r w:rsidR="002F774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любым поставщиком, но по согласованной цене.</w:t>
      </w:r>
    </w:p>
    <w:p w:rsidR="005F1442" w:rsidRDefault="005F1442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следует отметить, что не все закупки согласовываются с управлением контроля. Так в соответствии с </w:t>
      </w:r>
      <w:r w:rsidRPr="005F1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города Благовещенска от 27.01.2017 № 215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постановления от 21.03.2017 № 780) не требуют согласования </w:t>
      </w:r>
      <w:r w:rsidR="0055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контроля:</w:t>
      </w:r>
    </w:p>
    <w:p w:rsidR="005D3192" w:rsidRPr="005D3192" w:rsidRDefault="005D3192" w:rsidP="005D3192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закупки, </w:t>
      </w: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выполнением работ по ремонту, строительству, монтажу при наличии согласованной МУ «Городское управление капитальное строительства» стоимости работ по локально-сметному расчету;</w:t>
      </w:r>
    </w:p>
    <w:p w:rsidR="005D3192" w:rsidRPr="005D3192" w:rsidRDefault="005D3192" w:rsidP="005D3192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</w:t>
      </w: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поставку электрической, тепловой энергии, топлива и воды в рамках лимитов потребления, утвержденных постановлением администрации города  от 01.08.2016  № 2362 «Об утверждении лимитов потребления электрической, тепловой энергии, топлива и воды на 2017 год для муниципальных учреждений, финансируемых из городского бюджета»;</w:t>
      </w:r>
    </w:p>
    <w:p w:rsidR="005D3192" w:rsidRPr="005D3192" w:rsidRDefault="005D3192" w:rsidP="005D3192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</w:t>
      </w: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работ, услуг, осуществляемыми муниципальными учреждениям за счет всех источников финансирования на общую сумму по всем контрактам (договорам) в пределах 20 тысяч рублей в месяц - предельный месячный размер самостоятельных закупок;</w:t>
      </w:r>
      <w:r w:rsidRPr="005D31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D3192" w:rsidRPr="005D3192" w:rsidRDefault="005D3192" w:rsidP="005D3192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закуп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уплате организационных взносов для участия воспитанников и обучающихся муниципальных учреждений, а также творческих и спортивных коллективов в международных (всероссийских) фестивалях, конкурсах, смотрах, форумах, конференциях, соревнованиях. </w:t>
      </w:r>
    </w:p>
    <w:p w:rsidR="005D3192" w:rsidRPr="005D3192" w:rsidRDefault="005D3192" w:rsidP="005D3192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закуп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исполнительских услуг ансамблей, цирков и театральных трупп, оркестров, хоров и музыкальных групп, а также актеров, танцоров, музыкантов, лекторов или ораторов (ведущих), выступающих индивидуально, в целях проведения культурно-развлекательных мероприятий;</w:t>
      </w:r>
    </w:p>
    <w:p w:rsidR="005D3192" w:rsidRPr="005D3192" w:rsidRDefault="005D3192" w:rsidP="005D3192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закуп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работ, услуг, осуществляемых у муниципальных предприятий и учреждений города Благовещенска;</w:t>
      </w:r>
    </w:p>
    <w:p w:rsidR="005F1442" w:rsidRDefault="005D3192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>ж) закуп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5D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работ, услуг, осуществляемых муниципальными казенными и бюджетными учреждениями по результатам конкурсов и электронных аукционов, проводимых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Pr="007E1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Чем отличается поставка товара, выполнение работы и оказание услуги.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Казалось бы это самое просто при осуществлении закупки. Действительно, если речь идет о приобретении яблок или оргтехники, то это поставка, если о проведении медосмотра – это услуга, если о ремонте – работа.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практике же встречается ситуации, когда сложно определить к чему относится та или иная закупка. Например, изготовление наградной атрибутики, медалей, сувенирной продукции включает и поставку соответствующего товара и полиграфические услуги.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Отнесение закупки к тому или иному виду осложняется еще и тем, что при выборе ОКПД большая часть работ именуется услугами.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Обращаю внимание на отличие договора подряда от договоров поставки и возмездного оказания услуг на основании выводов из судебной практики.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договора подряда является изготовление индивидуально-определенного изделия, в то время как предметом поставки, как правило, выступает имущество, характеризуемое родовыми признаками. Условия договора подряда направлены прежде всего на определение взаимоотношений сторон в процессе выполнения обусловленных работ, а при поставке главное содержание договора составляет передача предмета договора другой стороне - покупателю. Таким образом, если Вы хотите, например, купить футболку без особых отличительных признаков, то это поставка, а если Вы хотите купить футболку с каким-то определенным установленным Вами изображением, то это уже договор подряда. Если Вы приобретаете шины, то это поставка, а если меняете шины на определенном автомобиле, то это работы.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договора возмездного оказания услуг, в рамках которого важна сама деятельность исполнителя, в договоре подряда имеет значение достижение подрядчиком вещественного результата. Например, медицинские услуги, образовательные услуги не имеют вещественного результата. Пример работ: уложено 10 кв.м. линолеума, изготовлено 20 медалей.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Обращаю внимание, что: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приема-передачи товаров указываются наименование товара, цена за единицу и общая стоимость;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приема-передачи услуг указываются сведения о виде услуг, их объеме и стоимости. Измеряется услуга чаще всего в условных единицах, услуга в штуках не измеряется;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приема-передачи работ обязательно указываются объем и стоимость каждого вида работ. Акты приема-передачи, в которых не указаны конкретные виды работ, их объем и стоимость в судебной практике не являются надлежащим доказательством выполнения работ.</w:t>
      </w:r>
    </w:p>
    <w:p w:rsid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  <w:r w:rsidRPr="007E14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Пример формулировки: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"Подрядчиком выполнены следующие виды работ: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1)_________;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2)_________;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3)_________.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силу возникшей необходимости подрядчиком также проведены дополнительные виды работ: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1)_________;</w:t>
      </w:r>
    </w:p>
    <w:p w:rsidR="007E14E9" w:rsidRPr="007E14E9" w:rsidRDefault="007E14E9" w:rsidP="007E14E9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14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2)_________".</w:t>
      </w: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4E9" w:rsidRPr="00454467" w:rsidRDefault="007E14E9" w:rsidP="00135AD6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E14E9" w:rsidRPr="00454467" w:rsidSect="00346D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DA8" w:rsidRDefault="00346DA8" w:rsidP="00346DA8">
      <w:pPr>
        <w:spacing w:after="0" w:line="240" w:lineRule="auto"/>
      </w:pPr>
      <w:r>
        <w:separator/>
      </w:r>
    </w:p>
  </w:endnote>
  <w:endnote w:type="continuationSeparator" w:id="0">
    <w:p w:rsidR="00346DA8" w:rsidRDefault="00346DA8" w:rsidP="0034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DA8" w:rsidRDefault="00346DA8" w:rsidP="00346DA8">
      <w:pPr>
        <w:spacing w:after="0" w:line="240" w:lineRule="auto"/>
      </w:pPr>
      <w:r>
        <w:separator/>
      </w:r>
    </w:p>
  </w:footnote>
  <w:footnote w:type="continuationSeparator" w:id="0">
    <w:p w:rsidR="00346DA8" w:rsidRDefault="00346DA8" w:rsidP="00346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1494513"/>
      <w:docPartObj>
        <w:docPartGallery w:val="Page Numbers (Top of Page)"/>
        <w:docPartUnique/>
      </w:docPartObj>
    </w:sdtPr>
    <w:sdtEndPr/>
    <w:sdtContent>
      <w:p w:rsidR="00346DA8" w:rsidRDefault="00346D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1DA">
          <w:rPr>
            <w:noProof/>
          </w:rPr>
          <w:t>5</w:t>
        </w:r>
        <w:r>
          <w:fldChar w:fldCharType="end"/>
        </w:r>
      </w:p>
    </w:sdtContent>
  </w:sdt>
  <w:p w:rsidR="00346DA8" w:rsidRDefault="00346D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5E"/>
    <w:rsid w:val="00017B19"/>
    <w:rsid w:val="000A2EF9"/>
    <w:rsid w:val="000D70C5"/>
    <w:rsid w:val="00135AD6"/>
    <w:rsid w:val="00213466"/>
    <w:rsid w:val="002A2B96"/>
    <w:rsid w:val="002A428E"/>
    <w:rsid w:val="002C011C"/>
    <w:rsid w:val="002F7746"/>
    <w:rsid w:val="00346DA8"/>
    <w:rsid w:val="003A749F"/>
    <w:rsid w:val="003B2E27"/>
    <w:rsid w:val="004170FC"/>
    <w:rsid w:val="00454467"/>
    <w:rsid w:val="0047183C"/>
    <w:rsid w:val="00485DFA"/>
    <w:rsid w:val="004E6FF4"/>
    <w:rsid w:val="00533895"/>
    <w:rsid w:val="00555A1D"/>
    <w:rsid w:val="005C5376"/>
    <w:rsid w:val="005D3192"/>
    <w:rsid w:val="005F1442"/>
    <w:rsid w:val="006535B0"/>
    <w:rsid w:val="006B082A"/>
    <w:rsid w:val="006B4C14"/>
    <w:rsid w:val="006B7E5F"/>
    <w:rsid w:val="00712B11"/>
    <w:rsid w:val="007624BF"/>
    <w:rsid w:val="007E14E9"/>
    <w:rsid w:val="00803C82"/>
    <w:rsid w:val="0082035B"/>
    <w:rsid w:val="00847676"/>
    <w:rsid w:val="008F7C77"/>
    <w:rsid w:val="00905E74"/>
    <w:rsid w:val="009433F9"/>
    <w:rsid w:val="009567CD"/>
    <w:rsid w:val="0096344B"/>
    <w:rsid w:val="009871DA"/>
    <w:rsid w:val="00A44949"/>
    <w:rsid w:val="00A45282"/>
    <w:rsid w:val="00A76CD5"/>
    <w:rsid w:val="00AA536F"/>
    <w:rsid w:val="00AB6090"/>
    <w:rsid w:val="00AB6464"/>
    <w:rsid w:val="00AE7F55"/>
    <w:rsid w:val="00B07F07"/>
    <w:rsid w:val="00B161F5"/>
    <w:rsid w:val="00B36494"/>
    <w:rsid w:val="00B72496"/>
    <w:rsid w:val="00B74DAE"/>
    <w:rsid w:val="00BB2E2A"/>
    <w:rsid w:val="00BC0197"/>
    <w:rsid w:val="00BF216D"/>
    <w:rsid w:val="00C1105E"/>
    <w:rsid w:val="00C3451D"/>
    <w:rsid w:val="00C477A8"/>
    <w:rsid w:val="00C763C0"/>
    <w:rsid w:val="00C95BBA"/>
    <w:rsid w:val="00D40012"/>
    <w:rsid w:val="00DC275E"/>
    <w:rsid w:val="00DC3F12"/>
    <w:rsid w:val="00DD13F6"/>
    <w:rsid w:val="00E259C2"/>
    <w:rsid w:val="00EC3B2E"/>
    <w:rsid w:val="00ED46F7"/>
    <w:rsid w:val="00F27739"/>
    <w:rsid w:val="00F943DA"/>
    <w:rsid w:val="00FB10D0"/>
    <w:rsid w:val="00FE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339C2-D1B4-4F59-AD36-6676906E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012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46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6DA8"/>
  </w:style>
  <w:style w:type="paragraph" w:styleId="a6">
    <w:name w:val="footer"/>
    <w:basedOn w:val="a"/>
    <w:link w:val="a7"/>
    <w:uiPriority w:val="99"/>
    <w:unhideWhenUsed/>
    <w:rsid w:val="00346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6DA8"/>
  </w:style>
  <w:style w:type="paragraph" w:styleId="a8">
    <w:name w:val="Balloon Text"/>
    <w:basedOn w:val="a"/>
    <w:link w:val="a9"/>
    <w:uiPriority w:val="99"/>
    <w:semiHidden/>
    <w:unhideWhenUsed/>
    <w:rsid w:val="007E1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14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6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Кирпикова Ольга Евгеньевна</dc:creator>
  <cp:keywords/>
  <dc:description/>
  <cp:lastModifiedBy>Кирпикова Ольга Евгеньевна</cp:lastModifiedBy>
  <cp:revision>32</cp:revision>
  <cp:lastPrinted>2017-04-04T01:52:00Z</cp:lastPrinted>
  <dcterms:created xsi:type="dcterms:W3CDTF">2016-11-16T07:21:00Z</dcterms:created>
  <dcterms:modified xsi:type="dcterms:W3CDTF">2017-04-04T07:59:00Z</dcterms:modified>
</cp:coreProperties>
</file>